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15EE9" w14:textId="494669C2" w:rsidR="002E5230" w:rsidRPr="002E5230" w:rsidRDefault="002E5230" w:rsidP="002E5230">
      <w:pPr>
        <w:pStyle w:val="NormalWeb"/>
        <w:spacing w:before="0" w:beforeAutospacing="0" w:after="0" w:afterAutospacing="0"/>
        <w:rPr>
          <w:rFonts w:ascii="Calibri" w:hAnsi="Calibri" w:cs="Calibri"/>
          <w:color w:val="000000"/>
        </w:rPr>
      </w:pPr>
      <w:r w:rsidRPr="002E5230">
        <w:rPr>
          <w:rFonts w:ascii="Calibri" w:hAnsi="Calibri" w:cs="Calibri"/>
          <w:color w:val="000000"/>
          <w:sz w:val="20"/>
          <w:szCs w:val="20"/>
        </w:rPr>
        <w:fldChar w:fldCharType="begin"/>
      </w:r>
      <w:r w:rsidRPr="002E5230">
        <w:rPr>
          <w:rFonts w:ascii="Calibri" w:hAnsi="Calibri" w:cs="Calibri"/>
          <w:color w:val="000000"/>
          <w:sz w:val="20"/>
          <w:szCs w:val="20"/>
        </w:rPr>
        <w:instrText xml:space="preserve"> HYPERLINK "https://www.larimer.org/health/safety-sanitation-programs/food-safety-program/license-plan-review-information/mobile-units" </w:instrText>
      </w:r>
      <w:r w:rsidRPr="002E5230">
        <w:rPr>
          <w:rFonts w:ascii="Calibri" w:hAnsi="Calibri" w:cs="Calibri"/>
          <w:color w:val="000000"/>
          <w:sz w:val="20"/>
          <w:szCs w:val="20"/>
        </w:rPr>
        <w:fldChar w:fldCharType="separate"/>
      </w:r>
      <w:r w:rsidRPr="002E5230">
        <w:rPr>
          <w:rStyle w:val="Hyperlink"/>
          <w:rFonts w:ascii="Calibri" w:hAnsi="Calibri" w:cs="Calibri"/>
          <w:sz w:val="20"/>
          <w:szCs w:val="20"/>
        </w:rPr>
        <w:t>https://www.larimer.org/health/safety-sanitation-programs/food-safety-program/license-plan-review-information/mobile-units</w:t>
      </w:r>
      <w:r w:rsidRPr="002E5230">
        <w:rPr>
          <w:rFonts w:ascii="Calibri" w:hAnsi="Calibri" w:cs="Calibri"/>
          <w:color w:val="000000"/>
          <w:sz w:val="20"/>
          <w:szCs w:val="20"/>
        </w:rPr>
        <w:fldChar w:fldCharType="end"/>
      </w:r>
      <w:r w:rsidRPr="002E5230">
        <w:rPr>
          <w:rFonts w:ascii="Calibri" w:hAnsi="Calibri" w:cs="Calibri"/>
          <w:color w:val="000000"/>
        </w:rPr>
        <w:t xml:space="preserve"> </w:t>
      </w:r>
    </w:p>
    <w:p w14:paraId="7139998C" w14:textId="77777777" w:rsidR="002E5230" w:rsidRDefault="002E5230" w:rsidP="002E5230">
      <w:pPr>
        <w:pStyle w:val="NormalWeb"/>
        <w:spacing w:before="0" w:beforeAutospacing="0" w:after="0" w:afterAutospacing="0"/>
        <w:rPr>
          <w:rFonts w:ascii="Calibri" w:hAnsi="Calibri" w:cs="Calibri"/>
          <w:b/>
          <w:bCs/>
          <w:color w:val="000000"/>
        </w:rPr>
      </w:pPr>
    </w:p>
    <w:p w14:paraId="200304DC" w14:textId="4F725BD3" w:rsidR="002E5230" w:rsidRDefault="002E5230" w:rsidP="002E5230">
      <w:pPr>
        <w:pStyle w:val="NormalWeb"/>
        <w:spacing w:before="0" w:beforeAutospacing="0" w:after="0" w:afterAutospacing="0"/>
      </w:pPr>
      <w:r>
        <w:rPr>
          <w:rFonts w:ascii="Calibri" w:hAnsi="Calibri" w:cs="Calibri"/>
          <w:b/>
          <w:bCs/>
          <w:color w:val="000000"/>
        </w:rPr>
        <w:t>Overview: </w:t>
      </w:r>
    </w:p>
    <w:p w14:paraId="2EDE3E6B" w14:textId="77777777" w:rsidR="002E5230" w:rsidRDefault="002E5230" w:rsidP="002E5230">
      <w:pPr>
        <w:pStyle w:val="NormalWeb"/>
        <w:spacing w:before="0" w:beforeAutospacing="0" w:after="0" w:afterAutospacing="0"/>
      </w:pPr>
      <w:r>
        <w:rPr>
          <w:rFonts w:ascii="Calibri" w:hAnsi="Calibri" w:cs="Calibri"/>
          <w:color w:val="000000"/>
        </w:rPr>
        <w:t xml:space="preserve">Mobile retail food establishments include food trucks, trailers, </w:t>
      </w:r>
      <w:proofErr w:type="gramStart"/>
      <w:r>
        <w:rPr>
          <w:rFonts w:ascii="Calibri" w:hAnsi="Calibri" w:cs="Calibri"/>
          <w:color w:val="000000"/>
        </w:rPr>
        <w:t>carts</w:t>
      </w:r>
      <w:proofErr w:type="gramEnd"/>
      <w:r>
        <w:rPr>
          <w:rFonts w:ascii="Calibri" w:hAnsi="Calibri" w:cs="Calibri"/>
          <w:color w:val="000000"/>
        </w:rPr>
        <w:t xml:space="preserve"> and mobile food vending operations that sell prepackaged foods requiring temperature control for food safety.  Mobile units are intended to be just that, mobile and move from one operating site to another.  They have a limited operating capacity compared to typical “brick and mortar” establishments that are plumbed to water and sewer systems, wired to the electrical grid, and can support more food service equipment such as refrigeration.  In addition, mobile units may not have the capability to operate in cold or hot weather conditions that can impact plumbing and refrigeration equipment.    </w:t>
      </w:r>
    </w:p>
    <w:p w14:paraId="1F0D6830" w14:textId="77777777" w:rsidR="002E5230" w:rsidRDefault="002E5230" w:rsidP="002E5230">
      <w:pPr>
        <w:pStyle w:val="NormalWeb"/>
        <w:spacing w:before="240" w:beforeAutospacing="0" w:after="0" w:afterAutospacing="0"/>
      </w:pPr>
      <w:r>
        <w:rPr>
          <w:rFonts w:ascii="Calibri" w:hAnsi="Calibri" w:cs="Calibri"/>
          <w:color w:val="000000"/>
        </w:rPr>
        <w:t>Because of this limited capacity a mobile unit’s menu needs to be relatively simple.  Restricted to cook/heat and serve and simple assembly. Due to the described limitations mobile units are expected to operate from a commissary or base kitchen for advanced food preparation, servicing, restocking and maintenance each day they operate.  </w:t>
      </w:r>
    </w:p>
    <w:p w14:paraId="6062C0B1" w14:textId="77777777" w:rsidR="002E5230" w:rsidRDefault="002E5230" w:rsidP="002E5230">
      <w:pPr>
        <w:pStyle w:val="NormalWeb"/>
        <w:spacing w:before="240" w:beforeAutospacing="0" w:after="0" w:afterAutospacing="0"/>
      </w:pPr>
      <w:r>
        <w:rPr>
          <w:rFonts w:ascii="Calibri" w:hAnsi="Calibri" w:cs="Calibri"/>
          <w:color w:val="000000"/>
        </w:rPr>
        <w:t xml:space="preserve">Food trucks and trailers where the service of food is from the interior of the unit are called mobile units.  Units that are designed so food is served from the exterior of the unit </w:t>
      </w:r>
      <w:proofErr w:type="gramStart"/>
      <w:r>
        <w:rPr>
          <w:rFonts w:ascii="Calibri" w:hAnsi="Calibri" w:cs="Calibri"/>
          <w:color w:val="000000"/>
        </w:rPr>
        <w:t>are considered to be</w:t>
      </w:r>
      <w:proofErr w:type="gramEnd"/>
      <w:r>
        <w:rPr>
          <w:rFonts w:ascii="Calibri" w:hAnsi="Calibri" w:cs="Calibri"/>
          <w:color w:val="000000"/>
        </w:rPr>
        <w:t xml:space="preserve"> a cart.  Mobile food vending operations that sell prepackaged foods requiring temperature control for food safety, such as packaged frozen meats from a cooler or freezer, or packaged burritos from a hot holding cabinet, are considered prepackage mobile units. Booth setups that may include cooking at a grill and the service of food from a table, under a tent that often operate at a festival or temporary event are not considered to be mobile retail food establishments.   </w:t>
      </w:r>
    </w:p>
    <w:p w14:paraId="445B6EED" w14:textId="47873C8A" w:rsidR="00E305A0" w:rsidRDefault="00853163"/>
    <w:p w14:paraId="2A2A45BD" w14:textId="239B38DB" w:rsidR="002E5230" w:rsidRPr="002E5230" w:rsidRDefault="002E5230" w:rsidP="002E5230">
      <w:pPr>
        <w:spacing w:after="0" w:line="240" w:lineRule="auto"/>
        <w:rPr>
          <w:b/>
          <w:bCs/>
          <w:sz w:val="24"/>
          <w:szCs w:val="24"/>
        </w:rPr>
      </w:pPr>
      <w:r w:rsidRPr="002E5230">
        <w:rPr>
          <w:b/>
          <w:bCs/>
          <w:sz w:val="24"/>
          <w:szCs w:val="24"/>
        </w:rPr>
        <w:t>Requirements:</w:t>
      </w:r>
    </w:p>
    <w:p w14:paraId="14E0F743" w14:textId="0D39CF33" w:rsidR="002E5230" w:rsidRPr="002E5230" w:rsidRDefault="002E5230" w:rsidP="002E5230">
      <w:pPr>
        <w:pStyle w:val="ListParagraph"/>
        <w:numPr>
          <w:ilvl w:val="0"/>
          <w:numId w:val="1"/>
        </w:numPr>
        <w:rPr>
          <w:sz w:val="24"/>
          <w:szCs w:val="24"/>
        </w:rPr>
      </w:pPr>
      <w:r w:rsidRPr="002E5230">
        <w:rPr>
          <w:sz w:val="24"/>
          <w:szCs w:val="24"/>
        </w:rPr>
        <w:t>Hand washing sink</w:t>
      </w:r>
      <w:r w:rsidR="00ED0885">
        <w:rPr>
          <w:sz w:val="24"/>
          <w:szCs w:val="24"/>
        </w:rPr>
        <w:t>.</w:t>
      </w:r>
    </w:p>
    <w:p w14:paraId="3131EBF0" w14:textId="7DCE9E2E" w:rsidR="002E5230" w:rsidRPr="002E5230" w:rsidRDefault="002E5230" w:rsidP="002E5230">
      <w:pPr>
        <w:pStyle w:val="ListParagraph"/>
        <w:numPr>
          <w:ilvl w:val="0"/>
          <w:numId w:val="1"/>
        </w:numPr>
        <w:rPr>
          <w:sz w:val="24"/>
          <w:szCs w:val="24"/>
        </w:rPr>
      </w:pPr>
      <w:r w:rsidRPr="002E5230">
        <w:rPr>
          <w:sz w:val="24"/>
          <w:szCs w:val="24"/>
        </w:rPr>
        <w:t>Equipment to adequately keep food hot or cold</w:t>
      </w:r>
      <w:r w:rsidR="00ED0885">
        <w:rPr>
          <w:sz w:val="24"/>
          <w:szCs w:val="24"/>
        </w:rPr>
        <w:t>.</w:t>
      </w:r>
    </w:p>
    <w:p w14:paraId="284A16B1" w14:textId="7A9755ED" w:rsidR="002E5230" w:rsidRPr="002E5230" w:rsidRDefault="002E5230" w:rsidP="002E5230">
      <w:pPr>
        <w:pStyle w:val="ListParagraph"/>
        <w:numPr>
          <w:ilvl w:val="0"/>
          <w:numId w:val="1"/>
        </w:numPr>
        <w:rPr>
          <w:sz w:val="24"/>
          <w:szCs w:val="24"/>
        </w:rPr>
      </w:pPr>
      <w:r w:rsidRPr="002E5230">
        <w:rPr>
          <w:sz w:val="24"/>
          <w:szCs w:val="24"/>
        </w:rPr>
        <w:t>Separation of RTE and animal protein foods during storage</w:t>
      </w:r>
      <w:r w:rsidR="00ED0885">
        <w:rPr>
          <w:sz w:val="24"/>
          <w:szCs w:val="24"/>
        </w:rPr>
        <w:t>.</w:t>
      </w:r>
    </w:p>
    <w:p w14:paraId="070AB171" w14:textId="67990F9A" w:rsidR="002E5230" w:rsidRPr="002E5230" w:rsidRDefault="002E5230" w:rsidP="002E5230">
      <w:pPr>
        <w:pStyle w:val="ListParagraph"/>
        <w:numPr>
          <w:ilvl w:val="0"/>
          <w:numId w:val="1"/>
        </w:numPr>
        <w:rPr>
          <w:sz w:val="24"/>
          <w:szCs w:val="24"/>
        </w:rPr>
      </w:pPr>
      <w:r w:rsidRPr="002E5230">
        <w:rPr>
          <w:rFonts w:ascii="Calibri" w:hAnsi="Calibri" w:cs="Calibri"/>
          <w:color w:val="000000"/>
          <w:sz w:val="24"/>
          <w:szCs w:val="24"/>
        </w:rPr>
        <w:t>If equipment and utensils are to be washed and sanitized within the food truck or trailer an approved, adequately sized, 3-compartment ware washing sink must be provided within the unit. The sink must be equipped with both hot and cold running water.</w:t>
      </w:r>
    </w:p>
    <w:p w14:paraId="75F87EAE" w14:textId="1AC851D2" w:rsidR="002E5230" w:rsidRPr="002E5230" w:rsidRDefault="002E5230" w:rsidP="002E5230">
      <w:pPr>
        <w:pStyle w:val="ListParagraph"/>
        <w:numPr>
          <w:ilvl w:val="0"/>
          <w:numId w:val="1"/>
        </w:numPr>
        <w:rPr>
          <w:sz w:val="24"/>
          <w:szCs w:val="24"/>
        </w:rPr>
      </w:pPr>
      <w:r w:rsidRPr="002E5230">
        <w:rPr>
          <w:rFonts w:ascii="Calibri" w:hAnsi="Calibri" w:cs="Calibri"/>
          <w:color w:val="000000"/>
          <w:sz w:val="24"/>
          <w:szCs w:val="24"/>
        </w:rPr>
        <w:t xml:space="preserve">Drinking water supply and </w:t>
      </w:r>
      <w:r w:rsidR="00ED0885" w:rsidRPr="002E5230">
        <w:rPr>
          <w:rFonts w:ascii="Calibri" w:hAnsi="Calibri" w:cs="Calibri"/>
          <w:color w:val="000000"/>
          <w:sz w:val="24"/>
          <w:szCs w:val="24"/>
        </w:rPr>
        <w:t>wastewater</w:t>
      </w:r>
      <w:r w:rsidRPr="002E5230">
        <w:rPr>
          <w:rFonts w:ascii="Calibri" w:hAnsi="Calibri" w:cs="Calibri"/>
          <w:color w:val="000000"/>
          <w:sz w:val="24"/>
          <w:szCs w:val="24"/>
        </w:rPr>
        <w:t xml:space="preserve"> receptacle</w:t>
      </w:r>
      <w:r w:rsidR="00ED0885">
        <w:rPr>
          <w:rFonts w:ascii="Calibri" w:hAnsi="Calibri" w:cs="Calibri"/>
          <w:color w:val="000000"/>
          <w:sz w:val="24"/>
          <w:szCs w:val="24"/>
        </w:rPr>
        <w:t>.</w:t>
      </w:r>
    </w:p>
    <w:p w14:paraId="6F72DF58" w14:textId="36786C2E" w:rsidR="002E5230" w:rsidRPr="002E5230" w:rsidRDefault="002E5230" w:rsidP="002E5230">
      <w:pPr>
        <w:pStyle w:val="ListParagraph"/>
        <w:numPr>
          <w:ilvl w:val="0"/>
          <w:numId w:val="1"/>
        </w:numPr>
        <w:rPr>
          <w:sz w:val="24"/>
          <w:szCs w:val="24"/>
        </w:rPr>
      </w:pPr>
      <w:r w:rsidRPr="002E5230">
        <w:rPr>
          <w:rFonts w:ascii="Calibri" w:hAnsi="Calibri" w:cs="Calibri"/>
          <w:color w:val="000000"/>
          <w:sz w:val="24"/>
          <w:szCs w:val="24"/>
        </w:rPr>
        <w:t>All equipment must be installed within and/or mounted on the mobile unit, except for a single grill or smoker used for cooking only.</w:t>
      </w:r>
    </w:p>
    <w:p w14:paraId="5FD01DF3" w14:textId="77777777" w:rsidR="002E5230" w:rsidRPr="002E5230" w:rsidRDefault="002E5230" w:rsidP="002E5230">
      <w:pPr>
        <w:pStyle w:val="ListParagraph"/>
        <w:numPr>
          <w:ilvl w:val="0"/>
          <w:numId w:val="1"/>
        </w:numPr>
        <w:rPr>
          <w:sz w:val="24"/>
          <w:szCs w:val="24"/>
        </w:rPr>
      </w:pPr>
      <w:r w:rsidRPr="002E5230">
        <w:rPr>
          <w:rFonts w:ascii="Calibri" w:hAnsi="Calibri" w:cs="Calibri"/>
          <w:color w:val="000000"/>
          <w:sz w:val="24"/>
          <w:szCs w:val="24"/>
        </w:rPr>
        <w:t>Only approved, smooth, easily cleanable, non-absorbent ice coolers may be used for the storage of ice and canned soft drinks. The use of Styrofoam coolers is not approved.</w:t>
      </w:r>
    </w:p>
    <w:p w14:paraId="0920373F" w14:textId="1077D26B" w:rsidR="002E5230" w:rsidRPr="002E5230" w:rsidRDefault="002E5230" w:rsidP="002E5230">
      <w:pPr>
        <w:pStyle w:val="ListParagraph"/>
        <w:numPr>
          <w:ilvl w:val="0"/>
          <w:numId w:val="1"/>
        </w:numPr>
        <w:rPr>
          <w:sz w:val="24"/>
          <w:szCs w:val="24"/>
        </w:rPr>
      </w:pPr>
      <w:r w:rsidRPr="002E5230">
        <w:rPr>
          <w:rFonts w:ascii="Calibri" w:hAnsi="Calibri" w:cs="Calibri"/>
          <w:color w:val="000000"/>
          <w:sz w:val="24"/>
          <w:szCs w:val="24"/>
        </w:rPr>
        <w:t>If grease cooking is to be done within the food truck or trailer, a Type 1 stainless steel commercial exhaust hood must be provided above the cooking equipment. Grease cooking indoors off a cart is not allowed.  </w:t>
      </w:r>
    </w:p>
    <w:p w14:paraId="7D4FC713" w14:textId="76134043" w:rsidR="002E5230" w:rsidRPr="002E5230" w:rsidRDefault="002E5230" w:rsidP="00ED0885">
      <w:pPr>
        <w:pStyle w:val="ListParagraph"/>
        <w:numPr>
          <w:ilvl w:val="0"/>
          <w:numId w:val="1"/>
        </w:numPr>
        <w:spacing w:after="0"/>
        <w:rPr>
          <w:sz w:val="24"/>
          <w:szCs w:val="24"/>
        </w:rPr>
      </w:pPr>
      <w:r w:rsidRPr="002E5230">
        <w:rPr>
          <w:rFonts w:ascii="Calibri" w:hAnsi="Calibri" w:cs="Calibri"/>
          <w:color w:val="000000"/>
          <w:sz w:val="24"/>
          <w:szCs w:val="24"/>
        </w:rPr>
        <w:t>All outer openings, including service windows and doors, that will be left open must be properly screened to help prevent the entry of flies and other insects.</w:t>
      </w:r>
    </w:p>
    <w:p w14:paraId="47D3CAA5" w14:textId="77777777" w:rsidR="002E5230" w:rsidRPr="002E5230" w:rsidRDefault="002E5230" w:rsidP="002E5230">
      <w:pPr>
        <w:pStyle w:val="NormalWeb"/>
        <w:numPr>
          <w:ilvl w:val="0"/>
          <w:numId w:val="1"/>
        </w:numPr>
        <w:spacing w:before="0" w:beforeAutospacing="0" w:after="0" w:afterAutospacing="0"/>
        <w:textAlignment w:val="baseline"/>
        <w:rPr>
          <w:rFonts w:ascii="Calibri" w:hAnsi="Calibri" w:cs="Calibri"/>
          <w:color w:val="000000"/>
        </w:rPr>
      </w:pPr>
      <w:r w:rsidRPr="002E5230">
        <w:rPr>
          <w:rFonts w:ascii="Calibri" w:hAnsi="Calibri" w:cs="Calibri"/>
          <w:color w:val="000000"/>
        </w:rPr>
        <w:t>At all times, including while being stored, displayed, served or transported, food, ice, utensils, equipment, counters, single service articles and paper goods must be protected from potential contamination by customers, dust, insects, rodents, flooding and drainage.</w:t>
      </w:r>
    </w:p>
    <w:p w14:paraId="5B9546DF" w14:textId="380266A1" w:rsidR="002E5230" w:rsidRDefault="002E5230" w:rsidP="002E5230">
      <w:pPr>
        <w:pStyle w:val="ListParagraph"/>
      </w:pPr>
    </w:p>
    <w:p w14:paraId="4F28022F" w14:textId="4CE89ACB" w:rsidR="002E5230" w:rsidRDefault="002E5230" w:rsidP="002E5230">
      <w:pPr>
        <w:pStyle w:val="ListParagraph"/>
      </w:pPr>
    </w:p>
    <w:p w14:paraId="12872FCC" w14:textId="6741549D" w:rsidR="002E5230" w:rsidRDefault="002E5230" w:rsidP="002E5230">
      <w:pPr>
        <w:pStyle w:val="ListParagraph"/>
      </w:pPr>
    </w:p>
    <w:p w14:paraId="07D15C64" w14:textId="7E6560A7" w:rsidR="002E5230" w:rsidRDefault="002E5230" w:rsidP="002E5230">
      <w:pPr>
        <w:pStyle w:val="ListParagraph"/>
        <w:rPr>
          <w:b/>
          <w:bCs/>
          <w:sz w:val="24"/>
          <w:szCs w:val="24"/>
        </w:rPr>
      </w:pPr>
      <w:r w:rsidRPr="002E5230">
        <w:rPr>
          <w:b/>
          <w:bCs/>
          <w:sz w:val="24"/>
          <w:szCs w:val="24"/>
        </w:rPr>
        <w:lastRenderedPageBreak/>
        <w:t>Assignment -- Design a mobile unit</w:t>
      </w:r>
    </w:p>
    <w:p w14:paraId="1239E0CE" w14:textId="678AC439" w:rsidR="002E5230" w:rsidRDefault="002E5230" w:rsidP="002E5230">
      <w:pPr>
        <w:pStyle w:val="ListParagraph"/>
        <w:numPr>
          <w:ilvl w:val="0"/>
          <w:numId w:val="5"/>
        </w:numPr>
        <w:rPr>
          <w:sz w:val="24"/>
          <w:szCs w:val="24"/>
        </w:rPr>
      </w:pPr>
      <w:r>
        <w:rPr>
          <w:sz w:val="24"/>
          <w:szCs w:val="24"/>
        </w:rPr>
        <w:t>Choose a theme and menu</w:t>
      </w:r>
    </w:p>
    <w:p w14:paraId="5196B578" w14:textId="54E23C82" w:rsidR="002E5230" w:rsidRDefault="002E5230" w:rsidP="002E5230">
      <w:pPr>
        <w:pStyle w:val="ListParagraph"/>
        <w:numPr>
          <w:ilvl w:val="1"/>
          <w:numId w:val="5"/>
        </w:numPr>
        <w:rPr>
          <w:sz w:val="24"/>
          <w:szCs w:val="24"/>
        </w:rPr>
      </w:pPr>
      <w:r>
        <w:rPr>
          <w:sz w:val="24"/>
          <w:szCs w:val="24"/>
        </w:rPr>
        <w:t>Give at least two examples of some main menu items</w:t>
      </w:r>
    </w:p>
    <w:p w14:paraId="06381754" w14:textId="7D53ECD2" w:rsidR="002E5230" w:rsidRDefault="00ED0885" w:rsidP="002E5230">
      <w:pPr>
        <w:pStyle w:val="ListParagraph"/>
        <w:numPr>
          <w:ilvl w:val="0"/>
          <w:numId w:val="5"/>
        </w:numPr>
        <w:rPr>
          <w:sz w:val="24"/>
          <w:szCs w:val="24"/>
        </w:rPr>
      </w:pPr>
      <w:r>
        <w:rPr>
          <w:sz w:val="24"/>
          <w:szCs w:val="24"/>
        </w:rPr>
        <w:t>Design a simple layout of your mobile unit that matches your menu/theme. This includes at least:</w:t>
      </w:r>
    </w:p>
    <w:p w14:paraId="1ACA19AD" w14:textId="349DA394" w:rsidR="00ED0885" w:rsidRDefault="00ED0885" w:rsidP="00ED0885">
      <w:pPr>
        <w:pStyle w:val="ListParagraph"/>
        <w:numPr>
          <w:ilvl w:val="1"/>
          <w:numId w:val="5"/>
        </w:numPr>
        <w:rPr>
          <w:sz w:val="24"/>
          <w:szCs w:val="24"/>
        </w:rPr>
      </w:pPr>
      <w:r>
        <w:rPr>
          <w:sz w:val="24"/>
          <w:szCs w:val="24"/>
        </w:rPr>
        <w:t>Equipment</w:t>
      </w:r>
    </w:p>
    <w:p w14:paraId="4B4CAFAC" w14:textId="7D1AC784" w:rsidR="00ED0885" w:rsidRDefault="00ED0885" w:rsidP="00ED0885">
      <w:pPr>
        <w:pStyle w:val="ListParagraph"/>
        <w:numPr>
          <w:ilvl w:val="1"/>
          <w:numId w:val="5"/>
        </w:numPr>
        <w:rPr>
          <w:sz w:val="24"/>
          <w:szCs w:val="24"/>
        </w:rPr>
      </w:pPr>
      <w:r>
        <w:rPr>
          <w:sz w:val="24"/>
          <w:szCs w:val="24"/>
        </w:rPr>
        <w:t>Service window/entrance</w:t>
      </w:r>
    </w:p>
    <w:p w14:paraId="07650932" w14:textId="17B13C49" w:rsidR="00ED0885" w:rsidRDefault="00ED0885" w:rsidP="00ED0885">
      <w:pPr>
        <w:pStyle w:val="ListParagraph"/>
        <w:numPr>
          <w:ilvl w:val="1"/>
          <w:numId w:val="5"/>
        </w:numPr>
        <w:rPr>
          <w:sz w:val="24"/>
          <w:szCs w:val="24"/>
        </w:rPr>
      </w:pPr>
      <w:r>
        <w:rPr>
          <w:sz w:val="24"/>
          <w:szCs w:val="24"/>
        </w:rPr>
        <w:t>Etc.</w:t>
      </w:r>
    </w:p>
    <w:p w14:paraId="05628A13" w14:textId="11F7AE59" w:rsidR="00ED0885" w:rsidRDefault="00ED0885" w:rsidP="00ED0885">
      <w:pPr>
        <w:pStyle w:val="ListParagraph"/>
        <w:numPr>
          <w:ilvl w:val="0"/>
          <w:numId w:val="5"/>
        </w:numPr>
        <w:rPr>
          <w:sz w:val="24"/>
          <w:szCs w:val="24"/>
        </w:rPr>
      </w:pPr>
      <w:r>
        <w:rPr>
          <w:sz w:val="24"/>
          <w:szCs w:val="24"/>
        </w:rPr>
        <w:t>Plan for ware washing – How will you wash some equipment at the unit? i.e. the items needed to prep and serve food during operation versus what will be washed at a commissary.</w:t>
      </w:r>
    </w:p>
    <w:p w14:paraId="65E843A1" w14:textId="747F80EC" w:rsidR="00ED0885" w:rsidRPr="002E5230" w:rsidRDefault="00ED0885" w:rsidP="00ED0885">
      <w:pPr>
        <w:pStyle w:val="ListParagraph"/>
        <w:numPr>
          <w:ilvl w:val="0"/>
          <w:numId w:val="5"/>
        </w:numPr>
        <w:rPr>
          <w:sz w:val="24"/>
          <w:szCs w:val="24"/>
        </w:rPr>
      </w:pPr>
      <w:r>
        <w:rPr>
          <w:sz w:val="24"/>
          <w:szCs w:val="24"/>
        </w:rPr>
        <w:t>Be sure to take into considerations all the requirements listed above.</w:t>
      </w:r>
    </w:p>
    <w:sectPr w:rsidR="00ED0885" w:rsidRPr="002E5230" w:rsidSect="002E52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7BBC3" w14:textId="77777777" w:rsidR="00853163" w:rsidRDefault="00853163" w:rsidP="002E5230">
      <w:pPr>
        <w:spacing w:after="0" w:line="240" w:lineRule="auto"/>
      </w:pPr>
      <w:r>
        <w:separator/>
      </w:r>
    </w:p>
  </w:endnote>
  <w:endnote w:type="continuationSeparator" w:id="0">
    <w:p w14:paraId="27A475AC" w14:textId="77777777" w:rsidR="00853163" w:rsidRDefault="00853163" w:rsidP="002E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A2522" w14:textId="77777777" w:rsidR="00853163" w:rsidRDefault="00853163" w:rsidP="002E5230">
      <w:pPr>
        <w:spacing w:after="0" w:line="240" w:lineRule="auto"/>
      </w:pPr>
      <w:r>
        <w:separator/>
      </w:r>
    </w:p>
  </w:footnote>
  <w:footnote w:type="continuationSeparator" w:id="0">
    <w:p w14:paraId="115F8838" w14:textId="77777777" w:rsidR="00853163" w:rsidRDefault="00853163" w:rsidP="002E5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10C7A"/>
    <w:multiLevelType w:val="multilevel"/>
    <w:tmpl w:val="9204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5D54C8"/>
    <w:multiLevelType w:val="hybridMultilevel"/>
    <w:tmpl w:val="4670C77E"/>
    <w:lvl w:ilvl="0" w:tplc="1030619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11BDC"/>
    <w:multiLevelType w:val="hybridMultilevel"/>
    <w:tmpl w:val="F9C0D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5555EA"/>
    <w:multiLevelType w:val="hybridMultilevel"/>
    <w:tmpl w:val="83BAF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D556E2"/>
    <w:multiLevelType w:val="multilevel"/>
    <w:tmpl w:val="E0F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30"/>
    <w:rsid w:val="00210F52"/>
    <w:rsid w:val="002E5230"/>
    <w:rsid w:val="00853163"/>
    <w:rsid w:val="008C6663"/>
    <w:rsid w:val="00D45BCD"/>
    <w:rsid w:val="00ED0885"/>
    <w:rsid w:val="00F7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24BC"/>
  <w15:chartTrackingRefBased/>
  <w15:docId w15:val="{BE1B0622-7EC7-47C1-B6D8-F03EF70D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2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5230"/>
    <w:pPr>
      <w:ind w:left="720"/>
      <w:contextualSpacing/>
    </w:pPr>
  </w:style>
  <w:style w:type="paragraph" w:styleId="Header">
    <w:name w:val="header"/>
    <w:basedOn w:val="Normal"/>
    <w:link w:val="HeaderChar"/>
    <w:uiPriority w:val="99"/>
    <w:unhideWhenUsed/>
    <w:rsid w:val="002E5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230"/>
  </w:style>
  <w:style w:type="paragraph" w:styleId="Footer">
    <w:name w:val="footer"/>
    <w:basedOn w:val="Normal"/>
    <w:link w:val="FooterChar"/>
    <w:uiPriority w:val="99"/>
    <w:unhideWhenUsed/>
    <w:rsid w:val="002E5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230"/>
  </w:style>
  <w:style w:type="character" w:styleId="Hyperlink">
    <w:name w:val="Hyperlink"/>
    <w:basedOn w:val="DefaultParagraphFont"/>
    <w:uiPriority w:val="99"/>
    <w:unhideWhenUsed/>
    <w:rsid w:val="002E5230"/>
    <w:rPr>
      <w:color w:val="0563C1" w:themeColor="hyperlink"/>
      <w:u w:val="single"/>
    </w:rPr>
  </w:style>
  <w:style w:type="character" w:styleId="UnresolvedMention">
    <w:name w:val="Unresolved Mention"/>
    <w:basedOn w:val="DefaultParagraphFont"/>
    <w:uiPriority w:val="99"/>
    <w:semiHidden/>
    <w:unhideWhenUsed/>
    <w:rsid w:val="002E5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890180">
      <w:bodyDiv w:val="1"/>
      <w:marLeft w:val="0"/>
      <w:marRight w:val="0"/>
      <w:marTop w:val="0"/>
      <w:marBottom w:val="0"/>
      <w:divBdr>
        <w:top w:val="none" w:sz="0" w:space="0" w:color="auto"/>
        <w:left w:val="none" w:sz="0" w:space="0" w:color="auto"/>
        <w:bottom w:val="none" w:sz="0" w:space="0" w:color="auto"/>
        <w:right w:val="none" w:sz="0" w:space="0" w:color="auto"/>
      </w:divBdr>
    </w:div>
    <w:div w:id="310793622">
      <w:bodyDiv w:val="1"/>
      <w:marLeft w:val="0"/>
      <w:marRight w:val="0"/>
      <w:marTop w:val="0"/>
      <w:marBottom w:val="0"/>
      <w:divBdr>
        <w:top w:val="none" w:sz="0" w:space="0" w:color="auto"/>
        <w:left w:val="none" w:sz="0" w:space="0" w:color="auto"/>
        <w:bottom w:val="none" w:sz="0" w:space="0" w:color="auto"/>
        <w:right w:val="none" w:sz="0" w:space="0" w:color="auto"/>
      </w:divBdr>
    </w:div>
    <w:div w:id="183730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Sly,Brittney</dc:creator>
  <cp:keywords/>
  <dc:description/>
  <cp:lastModifiedBy>Massoud,Anya (EID)</cp:lastModifiedBy>
  <cp:revision>2</cp:revision>
  <dcterms:created xsi:type="dcterms:W3CDTF">2021-03-19T03:07:00Z</dcterms:created>
  <dcterms:modified xsi:type="dcterms:W3CDTF">2021-03-19T03:07:00Z</dcterms:modified>
</cp:coreProperties>
</file>